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3FA7" w14:textId="62F2D980" w:rsidR="00F6219A" w:rsidRPr="00F6219A" w:rsidRDefault="00DF2D27" w:rsidP="00F6219A">
      <w:pPr>
        <w:spacing w:after="120" w:line="276" w:lineRule="auto"/>
        <w:jc w:val="both"/>
        <w:rPr>
          <w:rFonts w:ascii="Arial" w:hAnsi="Arial" w:cs="Arial"/>
          <w:sz w:val="20"/>
          <w:szCs w:val="20"/>
        </w:rPr>
      </w:pPr>
      <w:r>
        <w:rPr>
          <w:rFonts w:ascii="Arial" w:hAnsi="Arial" w:cs="Arial"/>
          <w:sz w:val="20"/>
          <w:szCs w:val="20"/>
        </w:rPr>
        <w:t>Dans le cadre de la réforme du concours, l</w:t>
      </w:r>
      <w:r w:rsidR="003D0FDB">
        <w:rPr>
          <w:rFonts w:ascii="Arial" w:hAnsi="Arial" w:cs="Arial"/>
          <w:sz w:val="20"/>
          <w:szCs w:val="20"/>
        </w:rPr>
        <w:t>e ministère envisage d’organiser les</w:t>
      </w:r>
      <w:r w:rsidR="00F6219A" w:rsidRPr="00F6219A">
        <w:rPr>
          <w:rFonts w:ascii="Arial" w:hAnsi="Arial" w:cs="Arial"/>
          <w:sz w:val="20"/>
          <w:szCs w:val="20"/>
        </w:rPr>
        <w:t xml:space="preserve"> différentes épreuves du concours de la manière suivante : deux épreuves écrites et deux épreuves orales.</w:t>
      </w:r>
    </w:p>
    <w:p w14:paraId="3C7AAA55" w14:textId="77777777" w:rsidR="00F6219A" w:rsidRPr="000A7744" w:rsidRDefault="00F6219A" w:rsidP="00F6219A">
      <w:pPr>
        <w:spacing w:after="120" w:line="276" w:lineRule="auto"/>
        <w:jc w:val="both"/>
        <w:rPr>
          <w:rFonts w:ascii="Arial" w:hAnsi="Arial" w:cs="Arial"/>
          <w:sz w:val="20"/>
          <w:szCs w:val="20"/>
          <w:u w:val="single"/>
        </w:rPr>
      </w:pPr>
      <w:r w:rsidRPr="000A7744">
        <w:rPr>
          <w:rFonts w:ascii="Arial" w:hAnsi="Arial" w:cs="Arial"/>
          <w:sz w:val="20"/>
          <w:szCs w:val="20"/>
          <w:u w:val="single"/>
        </w:rPr>
        <w:t>1 – Les épreuves d’admissibilité</w:t>
      </w:r>
      <w:bookmarkStart w:id="0" w:name="_GoBack"/>
      <w:bookmarkEnd w:id="0"/>
    </w:p>
    <w:p w14:paraId="48E54F5A" w14:textId="77777777" w:rsidR="00F6219A" w:rsidRPr="00F6219A" w:rsidRDefault="00F6219A" w:rsidP="00F6219A">
      <w:pPr>
        <w:spacing w:after="120" w:line="276" w:lineRule="auto"/>
        <w:jc w:val="both"/>
        <w:rPr>
          <w:rFonts w:ascii="Arial" w:hAnsi="Arial" w:cs="Arial"/>
          <w:sz w:val="20"/>
          <w:szCs w:val="20"/>
        </w:rPr>
      </w:pPr>
      <w:r w:rsidRPr="00F6219A">
        <w:rPr>
          <w:rFonts w:ascii="Arial" w:hAnsi="Arial" w:cs="Arial"/>
          <w:sz w:val="20"/>
          <w:szCs w:val="20"/>
        </w:rPr>
        <w:t>Pour le second degré, les épreuves d’admissibilité envisagées sont :</w:t>
      </w:r>
    </w:p>
    <w:p w14:paraId="20220CAF" w14:textId="66380E91" w:rsidR="00F6219A" w:rsidRPr="00F6219A" w:rsidRDefault="00F6219A" w:rsidP="00F6219A">
      <w:pPr>
        <w:numPr>
          <w:ilvl w:val="0"/>
          <w:numId w:val="18"/>
        </w:numPr>
        <w:spacing w:after="120" w:line="276" w:lineRule="auto"/>
        <w:jc w:val="both"/>
        <w:rPr>
          <w:rFonts w:ascii="Arial" w:hAnsi="Arial" w:cs="Arial"/>
          <w:sz w:val="20"/>
          <w:szCs w:val="20"/>
        </w:rPr>
      </w:pPr>
      <w:r w:rsidRPr="00F6219A">
        <w:rPr>
          <w:rFonts w:ascii="Arial" w:hAnsi="Arial" w:cs="Arial"/>
          <w:sz w:val="20"/>
          <w:szCs w:val="20"/>
        </w:rPr>
        <w:t>un écrit visant à contrôler la maîtrise disciplinaire des candidats </w:t>
      </w:r>
      <w:r w:rsidR="00CB11D0">
        <w:rPr>
          <w:rFonts w:ascii="Arial" w:hAnsi="Arial" w:cs="Arial"/>
          <w:sz w:val="20"/>
          <w:szCs w:val="20"/>
        </w:rPr>
        <w:t>avec note éliminatoire à 5</w:t>
      </w:r>
      <w:r w:rsidR="009C5A5B">
        <w:rPr>
          <w:rFonts w:ascii="Arial" w:hAnsi="Arial" w:cs="Arial"/>
          <w:sz w:val="20"/>
          <w:szCs w:val="20"/>
        </w:rPr>
        <w:t xml:space="preserve"> minimum, mais dont le niveau pourrait être ajusté en fonction des disciplines ;</w:t>
      </w:r>
    </w:p>
    <w:p w14:paraId="554D5902" w14:textId="356EA2D7" w:rsidR="00F6219A" w:rsidRPr="00181E3B" w:rsidRDefault="003D0FDB" w:rsidP="00181E3B">
      <w:pPr>
        <w:numPr>
          <w:ilvl w:val="0"/>
          <w:numId w:val="18"/>
        </w:numPr>
        <w:spacing w:after="120" w:line="276" w:lineRule="auto"/>
        <w:jc w:val="both"/>
        <w:rPr>
          <w:rFonts w:ascii="Arial" w:hAnsi="Arial" w:cs="Arial"/>
          <w:sz w:val="20"/>
          <w:szCs w:val="20"/>
        </w:rPr>
      </w:pPr>
      <w:r>
        <w:rPr>
          <w:rFonts w:ascii="Arial" w:hAnsi="Arial" w:cs="Arial"/>
          <w:sz w:val="20"/>
          <w:szCs w:val="20"/>
        </w:rPr>
        <w:t>une seconde épreuve écrite</w:t>
      </w:r>
      <w:r w:rsidRPr="00F6219A">
        <w:rPr>
          <w:rFonts w:ascii="Arial" w:hAnsi="Arial" w:cs="Arial"/>
          <w:bCs/>
          <w:sz w:val="20"/>
          <w:szCs w:val="20"/>
          <w:vertAlign w:val="superscript"/>
        </w:rPr>
        <w:footnoteReference w:id="2"/>
      </w:r>
      <w:r w:rsidR="00181E3B">
        <w:rPr>
          <w:rFonts w:ascii="Arial" w:hAnsi="Arial" w:cs="Arial"/>
          <w:sz w:val="20"/>
          <w:szCs w:val="20"/>
        </w:rPr>
        <w:t xml:space="preserve"> </w:t>
      </w:r>
      <w:r w:rsidR="00181E3B" w:rsidRPr="00181E3B">
        <w:rPr>
          <w:rFonts w:ascii="Arial" w:hAnsi="Arial" w:cs="Arial"/>
          <w:sz w:val="20"/>
          <w:szCs w:val="20"/>
        </w:rPr>
        <w:t xml:space="preserve">plaçant le candidat en situation d’élaborer une séquence pédagogique à partir d’un sujet donné par le jury, afin d’évaluer sa capacité à </w:t>
      </w:r>
      <w:r w:rsidR="00181E3B">
        <w:rPr>
          <w:rFonts w:ascii="Arial" w:hAnsi="Arial" w:cs="Arial"/>
          <w:sz w:val="20"/>
          <w:szCs w:val="20"/>
        </w:rPr>
        <w:t>exercer, dans une perspective pédagogique, une approche critique sur les sources disponibles. Il s’agit pour le candidat de concevoir, à partir de ressources documentaires en ligne, un p</w:t>
      </w:r>
      <w:r w:rsidR="00181E3B" w:rsidRPr="00181E3B">
        <w:rPr>
          <w:rFonts w:ascii="Arial" w:hAnsi="Arial" w:cs="Arial"/>
          <w:sz w:val="20"/>
          <w:szCs w:val="20"/>
        </w:rPr>
        <w:t>lan détaillé de séquence assorti de commentaires pédagogiques destinés à identifier les éléments à transmettre, les compétences à construire, les obstacles potentiels des élèves à lever, notamment dans leur rapport à l’information, en justifiant des sources utilisées, de leur confrontation et de leur analyse critique.</w:t>
      </w:r>
      <w:r w:rsidR="00181E3B">
        <w:rPr>
          <w:rFonts w:ascii="Arial" w:hAnsi="Arial" w:cs="Arial"/>
          <w:sz w:val="20"/>
          <w:szCs w:val="20"/>
        </w:rPr>
        <w:t xml:space="preserve"> </w:t>
      </w:r>
      <w:r w:rsidRPr="00181E3B">
        <w:rPr>
          <w:rFonts w:ascii="Arial" w:hAnsi="Arial" w:cs="Arial"/>
          <w:sz w:val="20"/>
          <w:szCs w:val="20"/>
        </w:rPr>
        <w:t>Le candidat dispose d’une tablette ou d’un ordinateur afin d’accéder à internet pour utiliser toute ressource qu’il juge pertinente.</w:t>
      </w:r>
    </w:p>
    <w:p w14:paraId="135C8DDA" w14:textId="7C95291D" w:rsidR="00F6219A" w:rsidRPr="00F6219A" w:rsidRDefault="00F6219A" w:rsidP="00F6219A">
      <w:pPr>
        <w:spacing w:after="120" w:line="276" w:lineRule="auto"/>
        <w:jc w:val="both"/>
        <w:rPr>
          <w:rFonts w:ascii="Arial" w:hAnsi="Arial" w:cs="Arial"/>
          <w:sz w:val="20"/>
          <w:szCs w:val="20"/>
        </w:rPr>
      </w:pPr>
      <w:r w:rsidRPr="00F6219A">
        <w:rPr>
          <w:rFonts w:ascii="Arial" w:hAnsi="Arial" w:cs="Arial"/>
          <w:sz w:val="20"/>
          <w:szCs w:val="20"/>
        </w:rPr>
        <w:t xml:space="preserve">Pour le premier degré, </w:t>
      </w:r>
      <w:r w:rsidR="009C5A5B">
        <w:rPr>
          <w:rFonts w:ascii="Arial" w:hAnsi="Arial" w:cs="Arial"/>
          <w:sz w:val="20"/>
          <w:szCs w:val="20"/>
        </w:rPr>
        <w:t>les épreuves d’admissibilité envisagées sont :</w:t>
      </w:r>
      <w:r w:rsidR="009C5A5B" w:rsidRPr="00F6219A" w:rsidDel="009C5A5B">
        <w:rPr>
          <w:rFonts w:ascii="Arial" w:hAnsi="Arial" w:cs="Arial"/>
          <w:sz w:val="20"/>
          <w:szCs w:val="20"/>
        </w:rPr>
        <w:t xml:space="preserve"> </w:t>
      </w:r>
    </w:p>
    <w:p w14:paraId="60BA9BCA" w14:textId="6DC85246" w:rsidR="00F6219A" w:rsidRPr="00F6219A" w:rsidRDefault="00F6219A" w:rsidP="00F6219A">
      <w:pPr>
        <w:numPr>
          <w:ilvl w:val="0"/>
          <w:numId w:val="20"/>
        </w:numPr>
        <w:spacing w:after="120" w:line="276" w:lineRule="auto"/>
        <w:jc w:val="both"/>
        <w:rPr>
          <w:rFonts w:ascii="Arial" w:hAnsi="Arial" w:cs="Arial"/>
          <w:sz w:val="20"/>
          <w:szCs w:val="20"/>
        </w:rPr>
      </w:pPr>
      <w:r w:rsidRPr="00F6219A">
        <w:rPr>
          <w:rFonts w:ascii="Arial" w:hAnsi="Arial" w:cs="Arial"/>
          <w:sz w:val="20"/>
          <w:szCs w:val="20"/>
        </w:rPr>
        <w:t>une épreuve « académique » (disciplinaire),</w:t>
      </w:r>
      <w:r w:rsidR="00CB11D0">
        <w:rPr>
          <w:rFonts w:ascii="Arial" w:hAnsi="Arial" w:cs="Arial"/>
          <w:sz w:val="20"/>
          <w:szCs w:val="20"/>
        </w:rPr>
        <w:t xml:space="preserve"> </w:t>
      </w:r>
      <w:r w:rsidR="00181E3B">
        <w:rPr>
          <w:rFonts w:ascii="Arial" w:hAnsi="Arial" w:cs="Arial"/>
          <w:sz w:val="20"/>
          <w:szCs w:val="20"/>
        </w:rPr>
        <w:t xml:space="preserve">en français et mathématiques, </w:t>
      </w:r>
      <w:r w:rsidR="00CB11D0">
        <w:rPr>
          <w:rFonts w:ascii="Arial" w:hAnsi="Arial" w:cs="Arial"/>
          <w:sz w:val="20"/>
          <w:szCs w:val="20"/>
        </w:rPr>
        <w:t xml:space="preserve">avec note éliminatoire </w:t>
      </w:r>
      <w:r w:rsidR="009C5A5B">
        <w:rPr>
          <w:rFonts w:ascii="Arial" w:hAnsi="Arial" w:cs="Arial"/>
          <w:sz w:val="20"/>
          <w:szCs w:val="20"/>
        </w:rPr>
        <w:t xml:space="preserve">qui pourrait être fixée </w:t>
      </w:r>
      <w:r w:rsidR="00CB11D0">
        <w:rPr>
          <w:rFonts w:ascii="Arial" w:hAnsi="Arial" w:cs="Arial"/>
          <w:sz w:val="20"/>
          <w:szCs w:val="20"/>
        </w:rPr>
        <w:t>à 5</w:t>
      </w:r>
      <w:r w:rsidR="00DF2D27">
        <w:rPr>
          <w:rFonts w:ascii="Arial" w:hAnsi="Arial" w:cs="Arial"/>
          <w:sz w:val="20"/>
          <w:szCs w:val="20"/>
        </w:rPr>
        <w:t> ;</w:t>
      </w:r>
    </w:p>
    <w:p w14:paraId="270B0EC5" w14:textId="1662EA69" w:rsidR="007C56EA" w:rsidRPr="00636CB5" w:rsidRDefault="00181E3B" w:rsidP="00636CB5">
      <w:pPr>
        <w:pStyle w:val="Paragraphedeliste"/>
        <w:numPr>
          <w:ilvl w:val="0"/>
          <w:numId w:val="21"/>
        </w:numPr>
        <w:jc w:val="both"/>
        <w:rPr>
          <w:rFonts w:ascii="Arial" w:hAnsi="Arial" w:cs="Arial"/>
          <w:sz w:val="20"/>
          <w:szCs w:val="20"/>
        </w:rPr>
      </w:pPr>
      <w:r>
        <w:rPr>
          <w:rFonts w:ascii="Arial" w:hAnsi="Arial" w:cs="Arial"/>
          <w:sz w:val="20"/>
          <w:szCs w:val="20"/>
        </w:rPr>
        <w:t>une épreuve professionnelle</w:t>
      </w:r>
      <w:r w:rsidR="007C56EA">
        <w:rPr>
          <w:rFonts w:ascii="Arial" w:hAnsi="Arial" w:cs="Arial"/>
          <w:sz w:val="20"/>
          <w:szCs w:val="20"/>
        </w:rPr>
        <w:t>, permettant d’apprécier la c</w:t>
      </w:r>
      <w:r w:rsidR="00636CB5">
        <w:rPr>
          <w:rFonts w:ascii="Arial" w:hAnsi="Arial" w:cs="Arial"/>
          <w:sz w:val="20"/>
          <w:szCs w:val="20"/>
        </w:rPr>
        <w:t>apacité du candidat à proposer une approche polyvalente d’un sujet, et à proposer une démarche d’apprentissage progressive et cohérente. Le candidat bénéficie d’un dossier comportant notamment des travaux issus de la recherche et des documents pédagogiques.</w:t>
      </w:r>
    </w:p>
    <w:p w14:paraId="51BCC294" w14:textId="77777777" w:rsidR="00636CB5" w:rsidRDefault="00636CB5" w:rsidP="00636CB5">
      <w:pPr>
        <w:pStyle w:val="Paragraphedeliste"/>
        <w:jc w:val="both"/>
        <w:rPr>
          <w:rFonts w:ascii="Arial" w:hAnsi="Arial" w:cs="Arial"/>
          <w:sz w:val="20"/>
          <w:szCs w:val="20"/>
        </w:rPr>
      </w:pPr>
    </w:p>
    <w:p w14:paraId="4879CD1D" w14:textId="55D7E8E0" w:rsidR="00F6219A" w:rsidRPr="000A7744" w:rsidRDefault="00F6219A" w:rsidP="00F6219A">
      <w:pPr>
        <w:spacing w:after="200" w:line="276" w:lineRule="auto"/>
        <w:contextualSpacing/>
        <w:jc w:val="both"/>
        <w:rPr>
          <w:rFonts w:ascii="Arial" w:hAnsi="Arial" w:cs="Arial"/>
          <w:sz w:val="20"/>
          <w:szCs w:val="20"/>
          <w:u w:val="single"/>
        </w:rPr>
      </w:pPr>
      <w:r w:rsidRPr="000A7744">
        <w:rPr>
          <w:rFonts w:ascii="Arial" w:hAnsi="Arial" w:cs="Arial"/>
          <w:sz w:val="20"/>
          <w:szCs w:val="20"/>
          <w:u w:val="single"/>
        </w:rPr>
        <w:t xml:space="preserve">2 – Les preuves </w:t>
      </w:r>
      <w:r w:rsidR="00E510CF" w:rsidRPr="000A7744">
        <w:rPr>
          <w:rFonts w:ascii="Arial" w:hAnsi="Arial" w:cs="Arial"/>
          <w:sz w:val="20"/>
          <w:szCs w:val="20"/>
          <w:u w:val="single"/>
        </w:rPr>
        <w:t xml:space="preserve">orales </w:t>
      </w:r>
      <w:r w:rsidRPr="000A7744">
        <w:rPr>
          <w:rFonts w:ascii="Arial" w:hAnsi="Arial" w:cs="Arial"/>
          <w:sz w:val="20"/>
          <w:szCs w:val="20"/>
          <w:u w:val="single"/>
        </w:rPr>
        <w:t>d’admission,</w:t>
      </w:r>
      <w:r w:rsidRPr="000A7744">
        <w:rPr>
          <w:rFonts w:ascii="Arial" w:hAnsi="Arial"/>
          <w:sz w:val="20"/>
          <w:u w:val="single"/>
        </w:rPr>
        <w:t xml:space="preserve"> </w:t>
      </w:r>
      <w:r w:rsidRPr="000A7744">
        <w:rPr>
          <w:rFonts w:ascii="Arial" w:hAnsi="Arial" w:cs="Arial"/>
          <w:sz w:val="20"/>
          <w:szCs w:val="20"/>
          <w:u w:val="single"/>
        </w:rPr>
        <w:t>pour tous les concours :</w:t>
      </w:r>
    </w:p>
    <w:p w14:paraId="03BE9B6B" w14:textId="77777777" w:rsidR="00CB11D0" w:rsidRPr="00F6219A" w:rsidRDefault="00CB11D0" w:rsidP="00F6219A">
      <w:pPr>
        <w:spacing w:after="200" w:line="276" w:lineRule="auto"/>
        <w:contextualSpacing/>
        <w:jc w:val="both"/>
        <w:rPr>
          <w:rFonts w:ascii="Arial" w:hAnsi="Arial" w:cs="Arial"/>
          <w:sz w:val="20"/>
          <w:szCs w:val="20"/>
        </w:rPr>
      </w:pPr>
    </w:p>
    <w:p w14:paraId="425D0F18" w14:textId="719E6624" w:rsidR="00F6219A" w:rsidRDefault="00F6219A" w:rsidP="00F6219A">
      <w:pPr>
        <w:numPr>
          <w:ilvl w:val="0"/>
          <w:numId w:val="20"/>
        </w:numPr>
        <w:spacing w:after="120" w:line="276" w:lineRule="auto"/>
        <w:contextualSpacing/>
        <w:jc w:val="both"/>
        <w:rPr>
          <w:rFonts w:ascii="Arial" w:hAnsi="Arial" w:cs="Arial"/>
          <w:sz w:val="20"/>
          <w:szCs w:val="20"/>
        </w:rPr>
      </w:pPr>
      <w:r w:rsidRPr="00F6219A">
        <w:rPr>
          <w:rFonts w:ascii="Arial" w:hAnsi="Arial" w:cs="Arial"/>
          <w:sz w:val="20"/>
          <w:szCs w:val="20"/>
        </w:rPr>
        <w:t>une première épreuve de conception et d</w:t>
      </w:r>
      <w:r w:rsidR="00E510CF">
        <w:rPr>
          <w:rFonts w:ascii="Arial" w:hAnsi="Arial" w:cs="Arial"/>
          <w:sz w:val="20"/>
          <w:szCs w:val="20"/>
        </w:rPr>
        <w:t>’animation d’une séance</w:t>
      </w:r>
      <w:r w:rsidRPr="00F6219A">
        <w:rPr>
          <w:rFonts w:ascii="Arial" w:hAnsi="Arial" w:cs="Arial"/>
          <w:sz w:val="20"/>
          <w:szCs w:val="20"/>
        </w:rPr>
        <w:t xml:space="preserve"> d’enseignement ou l’exploitation d’un support permettant d’apprécier à la fois la maîtrise disciplinaire et la maîtrise de compétences pédagogiques. Pour le CRPE, le candidat tire au sort un sujet pouvant porter sur chacun des thèmes d’enseignement (en intégrant ou non les mathématiques et le français, qui auront été testés dans les épreuves écrites) ; </w:t>
      </w:r>
    </w:p>
    <w:p w14:paraId="0718E08B" w14:textId="77777777" w:rsidR="002829E7" w:rsidRPr="00F6219A" w:rsidRDefault="002829E7" w:rsidP="002829E7">
      <w:pPr>
        <w:spacing w:after="120" w:line="276" w:lineRule="auto"/>
        <w:ind w:left="720"/>
        <w:contextualSpacing/>
        <w:jc w:val="both"/>
        <w:rPr>
          <w:rFonts w:ascii="Arial" w:hAnsi="Arial" w:cs="Arial"/>
          <w:sz w:val="20"/>
          <w:szCs w:val="20"/>
        </w:rPr>
      </w:pPr>
    </w:p>
    <w:p w14:paraId="606AD949" w14:textId="16FED16D" w:rsidR="00F6219A" w:rsidRDefault="00F6219A" w:rsidP="00F6219A">
      <w:pPr>
        <w:numPr>
          <w:ilvl w:val="0"/>
          <w:numId w:val="20"/>
        </w:numPr>
        <w:spacing w:after="120" w:line="276" w:lineRule="auto"/>
        <w:contextualSpacing/>
        <w:jc w:val="both"/>
        <w:rPr>
          <w:rFonts w:ascii="Arial" w:hAnsi="Arial" w:cs="Arial"/>
          <w:sz w:val="20"/>
          <w:szCs w:val="20"/>
        </w:rPr>
      </w:pPr>
      <w:r w:rsidRPr="00E510CF">
        <w:rPr>
          <w:rFonts w:ascii="Arial" w:hAnsi="Arial" w:cs="Arial"/>
          <w:sz w:val="20"/>
          <w:szCs w:val="20"/>
        </w:rPr>
        <w:t>une seconde épreuve orale d’entretien sur la motivation du candidat et sa connaissance de l’environnement et des enjeux du service public de l’éducation, sa capacité à incarner et verbaliser les valeurs de la République et à se positionner en fonctionnaire.</w:t>
      </w:r>
      <w:r w:rsidR="00E510CF" w:rsidRPr="00E510CF">
        <w:rPr>
          <w:rFonts w:ascii="Arial" w:hAnsi="Arial" w:cs="Arial"/>
          <w:color w:val="212121"/>
          <w:sz w:val="20"/>
          <w:szCs w:val="20"/>
        </w:rPr>
        <w:t xml:space="preserve"> </w:t>
      </w:r>
      <w:r w:rsidR="00E510CF" w:rsidRPr="00E510CF">
        <w:rPr>
          <w:rFonts w:ascii="Arial" w:hAnsi="Arial" w:cs="Arial"/>
          <w:sz w:val="20"/>
          <w:szCs w:val="20"/>
        </w:rPr>
        <w:t>L’oral d'entretien doit permettre au candidat de faire valoir son parcours, mais aussi de valoriser ses travaux de recherche</w:t>
      </w:r>
      <w:r w:rsidR="00E510CF" w:rsidRPr="00E510CF">
        <w:t>. </w:t>
      </w:r>
    </w:p>
    <w:p w14:paraId="7E1EA679" w14:textId="77777777" w:rsidR="00F6219A" w:rsidRDefault="00F6219A" w:rsidP="00F6219A">
      <w:pPr>
        <w:spacing w:after="120" w:line="276" w:lineRule="auto"/>
        <w:ind w:left="720"/>
        <w:contextualSpacing/>
        <w:jc w:val="both"/>
        <w:rPr>
          <w:rFonts w:ascii="Arial" w:hAnsi="Arial" w:cs="Arial"/>
          <w:sz w:val="20"/>
          <w:szCs w:val="20"/>
        </w:rPr>
      </w:pPr>
    </w:p>
    <w:p w14:paraId="06DCCE15" w14:textId="5FDAC2CF" w:rsidR="003D0FDB" w:rsidRDefault="003D0FDB" w:rsidP="000A7744">
      <w:pPr>
        <w:spacing w:after="120" w:line="276" w:lineRule="auto"/>
        <w:ind w:left="720"/>
        <w:contextualSpacing/>
        <w:jc w:val="center"/>
        <w:rPr>
          <w:rFonts w:ascii="Arial" w:hAnsi="Arial" w:cs="Arial"/>
          <w:sz w:val="20"/>
          <w:szCs w:val="20"/>
        </w:rPr>
      </w:pPr>
      <w:r>
        <w:rPr>
          <w:rFonts w:ascii="Arial" w:hAnsi="Arial" w:cs="Arial"/>
          <w:sz w:val="20"/>
          <w:szCs w:val="20"/>
        </w:rPr>
        <w:t>*</w:t>
      </w:r>
    </w:p>
    <w:p w14:paraId="78E571CE" w14:textId="77777777" w:rsidR="00E510CF" w:rsidRPr="00F6219A" w:rsidRDefault="00E510CF" w:rsidP="00F6219A">
      <w:pPr>
        <w:spacing w:after="120" w:line="276" w:lineRule="auto"/>
        <w:ind w:left="720"/>
        <w:contextualSpacing/>
        <w:jc w:val="both"/>
        <w:rPr>
          <w:rFonts w:ascii="Arial" w:hAnsi="Arial" w:cs="Arial"/>
          <w:sz w:val="20"/>
          <w:szCs w:val="20"/>
        </w:rPr>
      </w:pPr>
    </w:p>
    <w:p w14:paraId="7A9195F2" w14:textId="1B499517" w:rsidR="00F6219A" w:rsidRPr="00F6219A" w:rsidRDefault="003D0FDB" w:rsidP="000A7744">
      <w:pPr>
        <w:spacing w:after="120" w:line="276" w:lineRule="auto"/>
        <w:jc w:val="both"/>
        <w:rPr>
          <w:rFonts w:ascii="Arial" w:hAnsi="Arial" w:cs="Arial"/>
          <w:sz w:val="20"/>
          <w:szCs w:val="20"/>
        </w:rPr>
      </w:pPr>
      <w:r>
        <w:rPr>
          <w:rFonts w:ascii="Arial" w:hAnsi="Arial" w:cs="Arial"/>
          <w:sz w:val="20"/>
          <w:szCs w:val="20"/>
        </w:rPr>
        <w:t>L</w:t>
      </w:r>
      <w:r w:rsidR="00F6219A" w:rsidRPr="00F6219A">
        <w:rPr>
          <w:rFonts w:ascii="Arial" w:hAnsi="Arial" w:cs="Arial"/>
          <w:sz w:val="20"/>
          <w:szCs w:val="20"/>
        </w:rPr>
        <w:t xml:space="preserve">e jeu des coefficients </w:t>
      </w:r>
      <w:r w:rsidR="00181E3B">
        <w:rPr>
          <w:rFonts w:ascii="Arial" w:hAnsi="Arial" w:cs="Arial"/>
          <w:sz w:val="20"/>
          <w:szCs w:val="20"/>
        </w:rPr>
        <w:t xml:space="preserve">majorera </w:t>
      </w:r>
      <w:r w:rsidR="00DF2D27" w:rsidRPr="00F6219A">
        <w:rPr>
          <w:rFonts w:ascii="Arial" w:hAnsi="Arial" w:cs="Arial"/>
          <w:sz w:val="20"/>
          <w:szCs w:val="20"/>
        </w:rPr>
        <w:t>le poids de l’oral</w:t>
      </w:r>
      <w:r w:rsidR="00181E3B">
        <w:rPr>
          <w:rFonts w:ascii="Arial" w:hAnsi="Arial" w:cs="Arial"/>
          <w:sz w:val="20"/>
          <w:szCs w:val="20"/>
        </w:rPr>
        <w:t xml:space="preserve"> par rapport aux écrits</w:t>
      </w:r>
      <w:r w:rsidR="00F6219A" w:rsidRPr="00F6219A">
        <w:rPr>
          <w:rFonts w:ascii="Arial" w:hAnsi="Arial" w:cs="Arial"/>
          <w:sz w:val="20"/>
          <w:szCs w:val="20"/>
        </w:rPr>
        <w:t xml:space="preserve">. </w:t>
      </w:r>
    </w:p>
    <w:p w14:paraId="296724C7" w14:textId="77777777" w:rsidR="00313443" w:rsidRDefault="00313443" w:rsidP="009A1AA5">
      <w:pPr>
        <w:pStyle w:val="Paragraphedeliste"/>
        <w:widowControl w:val="0"/>
        <w:autoSpaceDE w:val="0"/>
        <w:autoSpaceDN w:val="0"/>
        <w:adjustRightInd w:val="0"/>
        <w:spacing w:after="200" w:line="280" w:lineRule="exact"/>
        <w:ind w:left="0"/>
        <w:jc w:val="both"/>
        <w:rPr>
          <w:b/>
        </w:rPr>
      </w:pPr>
    </w:p>
    <w:p w14:paraId="3E326EEF" w14:textId="28D68D13" w:rsidR="00E12BD3" w:rsidRPr="003B5523" w:rsidRDefault="00E12BD3" w:rsidP="00570A89">
      <w:pPr>
        <w:pStyle w:val="Paragraphedeliste"/>
        <w:widowControl w:val="0"/>
        <w:autoSpaceDE w:val="0"/>
        <w:autoSpaceDN w:val="0"/>
        <w:adjustRightInd w:val="0"/>
        <w:spacing w:after="200" w:line="280" w:lineRule="exact"/>
        <w:ind w:left="0"/>
        <w:jc w:val="both"/>
        <w:rPr>
          <w:b/>
        </w:rPr>
      </w:pPr>
    </w:p>
    <w:sectPr w:rsidR="00E12BD3" w:rsidRPr="003B5523" w:rsidSect="00F56E6F">
      <w:headerReference w:type="default" r:id="rId9"/>
      <w:footerReference w:type="default" r:id="rId10"/>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C33C5" w14:textId="77777777" w:rsidR="00537B76" w:rsidRDefault="00537B76" w:rsidP="000C31E1">
      <w:r>
        <w:separator/>
      </w:r>
    </w:p>
  </w:endnote>
  <w:endnote w:type="continuationSeparator" w:id="0">
    <w:p w14:paraId="64C3A0B0" w14:textId="77777777" w:rsidR="00537B76" w:rsidRDefault="00537B76" w:rsidP="000C31E1">
      <w:r>
        <w:continuationSeparator/>
      </w:r>
    </w:p>
  </w:endnote>
  <w:endnote w:type="continuationNotice" w:id="1">
    <w:p w14:paraId="39A0EA8A" w14:textId="77777777" w:rsidR="00537B76" w:rsidRDefault="00537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C37CB" w14:textId="40477475" w:rsidR="00F56E6F" w:rsidRPr="00F56E6F" w:rsidRDefault="00F6219A" w:rsidP="00F56E6F">
    <w:pPr>
      <w:pStyle w:val="Pieddepage"/>
      <w:pBdr>
        <w:top w:val="thinThickSmallGap" w:sz="24" w:space="1" w:color="622423"/>
      </w:pBdr>
      <w:tabs>
        <w:tab w:val="clear" w:pos="4536"/>
        <w:tab w:val="center" w:pos="4253"/>
      </w:tabs>
      <w:rPr>
        <w:rFonts w:ascii="Arial" w:eastAsia="Times New Roman" w:hAnsi="Arial" w:cs="Arial"/>
      </w:rPr>
    </w:pPr>
    <w:r>
      <w:rPr>
        <w:rFonts w:ascii="Arial" w:eastAsia="Times New Roman" w:hAnsi="Arial" w:cs="Arial"/>
      </w:rPr>
      <w:t>DGRH</w:t>
    </w:r>
    <w:r w:rsidR="00245F19">
      <w:rPr>
        <w:rFonts w:ascii="Arial" w:eastAsia="Times New Roman" w:hAnsi="Arial" w:cs="Arial"/>
      </w:rPr>
      <w:t>-DGESCO-DGESIP</w:t>
    </w:r>
    <w:r w:rsidR="00245F19">
      <w:rPr>
        <w:rFonts w:ascii="Arial" w:eastAsia="Times New Roman" w:hAnsi="Arial" w:cs="Arial"/>
      </w:rPr>
      <w:tab/>
      <w:t>20</w:t>
    </w:r>
    <w:r w:rsidR="00F56E6F" w:rsidRPr="00F56E6F">
      <w:rPr>
        <w:rFonts w:ascii="Arial" w:eastAsia="Times New Roman" w:hAnsi="Arial" w:cs="Arial"/>
      </w:rPr>
      <w:t>/11/2019</w:t>
    </w:r>
    <w:r w:rsidR="00F56E6F" w:rsidRPr="00F56E6F">
      <w:rPr>
        <w:rFonts w:ascii="Arial" w:eastAsia="Times New Roman" w:hAnsi="Arial" w:cs="Arial"/>
      </w:rPr>
      <w:tab/>
      <w:t xml:space="preserve">Page </w:t>
    </w:r>
    <w:r w:rsidR="00F56E6F" w:rsidRPr="00F56E6F">
      <w:rPr>
        <w:rFonts w:ascii="Arial" w:eastAsia="Times New Roman" w:hAnsi="Arial" w:cs="Arial"/>
      </w:rPr>
      <w:fldChar w:fldCharType="begin"/>
    </w:r>
    <w:r w:rsidR="00F56E6F" w:rsidRPr="00F56E6F">
      <w:rPr>
        <w:rFonts w:ascii="Arial" w:hAnsi="Arial" w:cs="Arial"/>
      </w:rPr>
      <w:instrText>PAGE   \* MERGEFORMAT</w:instrText>
    </w:r>
    <w:r w:rsidR="00F56E6F" w:rsidRPr="00F56E6F">
      <w:rPr>
        <w:rFonts w:ascii="Arial" w:eastAsia="Times New Roman" w:hAnsi="Arial" w:cs="Arial"/>
      </w:rPr>
      <w:fldChar w:fldCharType="separate"/>
    </w:r>
    <w:r w:rsidR="00245F19" w:rsidRPr="00245F19">
      <w:rPr>
        <w:rFonts w:ascii="Arial" w:eastAsia="Times New Roman" w:hAnsi="Arial" w:cs="Arial"/>
        <w:noProof/>
      </w:rPr>
      <w:t>1</w:t>
    </w:r>
    <w:r w:rsidR="00F56E6F" w:rsidRPr="00F56E6F">
      <w:rPr>
        <w:rFonts w:ascii="Arial" w:eastAsia="Times New Roman" w:hAnsi="Arial" w:cs="Arial"/>
      </w:rPr>
      <w:fldChar w:fldCharType="end"/>
    </w:r>
  </w:p>
  <w:p w14:paraId="520543CE" w14:textId="77777777" w:rsidR="00F56E6F" w:rsidRPr="00F56E6F" w:rsidRDefault="00F56E6F">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0857A" w14:textId="77777777" w:rsidR="00537B76" w:rsidRDefault="00537B76" w:rsidP="000C31E1">
      <w:r>
        <w:separator/>
      </w:r>
    </w:p>
  </w:footnote>
  <w:footnote w:type="continuationSeparator" w:id="0">
    <w:p w14:paraId="351D7D4F" w14:textId="77777777" w:rsidR="00537B76" w:rsidRDefault="00537B76" w:rsidP="000C31E1">
      <w:r>
        <w:continuationSeparator/>
      </w:r>
    </w:p>
  </w:footnote>
  <w:footnote w:type="continuationNotice" w:id="1">
    <w:p w14:paraId="585C23CE" w14:textId="77777777" w:rsidR="00537B76" w:rsidRDefault="00537B76"/>
  </w:footnote>
  <w:footnote w:id="2">
    <w:p w14:paraId="23ADF0F3" w14:textId="782795B5" w:rsidR="003D0FDB" w:rsidRPr="0001430C" w:rsidRDefault="003D0FDB" w:rsidP="003D0FDB">
      <w:pPr>
        <w:pStyle w:val="Notedebasdepage"/>
        <w:rPr>
          <w:rFonts w:ascii="Calibri" w:hAnsi="Calibri"/>
          <w:sz w:val="18"/>
          <w:szCs w:val="18"/>
        </w:rPr>
      </w:pPr>
      <w:r w:rsidRPr="0001430C">
        <w:rPr>
          <w:rStyle w:val="Appelnotedebasdep"/>
          <w:rFonts w:ascii="Calibri" w:hAnsi="Calibri"/>
          <w:sz w:val="18"/>
          <w:szCs w:val="18"/>
        </w:rPr>
        <w:footnoteRef/>
      </w:r>
      <w:r w:rsidRPr="0001430C">
        <w:rPr>
          <w:rFonts w:ascii="Calibri" w:hAnsi="Calibri"/>
          <w:sz w:val="18"/>
          <w:szCs w:val="18"/>
        </w:rPr>
        <w:t xml:space="preserve"> Hors PEPS et CPE.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7471B" w14:textId="77777777" w:rsidR="00F6219A" w:rsidRDefault="00F6219A" w:rsidP="00BC2A21">
    <w:pPr>
      <w:pStyle w:val="En-tte"/>
      <w:pBdr>
        <w:bottom w:val="thickThinSmallGap" w:sz="24" w:space="1" w:color="622423"/>
      </w:pBdr>
      <w:jc w:val="center"/>
      <w:rPr>
        <w:rFonts w:ascii="Arial" w:hAnsi="Arial" w:cs="Arial"/>
        <w:b/>
      </w:rPr>
    </w:pPr>
    <w:r>
      <w:rPr>
        <w:rFonts w:ascii="Arial" w:hAnsi="Arial" w:cs="Arial"/>
        <w:b/>
      </w:rPr>
      <w:t>Professionnalisation de la formation et du concours des professeurs</w:t>
    </w:r>
  </w:p>
  <w:p w14:paraId="5BEFAFBF" w14:textId="77777777" w:rsidR="00F6219A" w:rsidRDefault="00F6219A" w:rsidP="00BC2A21">
    <w:pPr>
      <w:pStyle w:val="En-tte"/>
      <w:pBdr>
        <w:bottom w:val="thickThinSmallGap" w:sz="24" w:space="1" w:color="622423"/>
      </w:pBdr>
      <w:jc w:val="center"/>
      <w:rPr>
        <w:rFonts w:ascii="Arial" w:hAnsi="Arial" w:cs="Arial"/>
        <w:b/>
      </w:rPr>
    </w:pPr>
  </w:p>
  <w:p w14:paraId="15362388" w14:textId="77777777" w:rsidR="00BC2A21" w:rsidRPr="00BC2A21" w:rsidRDefault="00F6219A" w:rsidP="00BC2A21">
    <w:pPr>
      <w:pStyle w:val="En-tte"/>
      <w:pBdr>
        <w:bottom w:val="thickThinSmallGap" w:sz="24" w:space="1" w:color="622423"/>
      </w:pBdr>
      <w:jc w:val="center"/>
      <w:rPr>
        <w:rFonts w:ascii="Arial" w:eastAsia="Times New Roman" w:hAnsi="Arial" w:cs="Arial"/>
        <w:sz w:val="32"/>
        <w:szCs w:val="32"/>
      </w:rPr>
    </w:pPr>
    <w:r>
      <w:rPr>
        <w:rFonts w:ascii="Arial" w:hAnsi="Arial" w:cs="Arial"/>
        <w:b/>
      </w:rPr>
      <w:t>Fiche 1 : Les épreuves du concours</w:t>
    </w:r>
  </w:p>
  <w:p w14:paraId="58FDD685" w14:textId="77777777" w:rsidR="00F6219A" w:rsidRDefault="00F621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785"/>
    <w:multiLevelType w:val="hybridMultilevel"/>
    <w:tmpl w:val="7A78F4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B8449B"/>
    <w:multiLevelType w:val="hybridMultilevel"/>
    <w:tmpl w:val="78AA7A88"/>
    <w:lvl w:ilvl="0" w:tplc="5E10FC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9A3383"/>
    <w:multiLevelType w:val="hybridMultilevel"/>
    <w:tmpl w:val="8BE8D45E"/>
    <w:lvl w:ilvl="0" w:tplc="D8887780">
      <w:start w:val="1"/>
      <w:numFmt w:val="upperRoman"/>
      <w:lvlText w:val="%1."/>
      <w:lvlJc w:val="right"/>
      <w:pPr>
        <w:ind w:left="720" w:hanging="360"/>
      </w:pPr>
      <w:rPr>
        <w:strike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774BD6"/>
    <w:multiLevelType w:val="hybridMultilevel"/>
    <w:tmpl w:val="AB626B38"/>
    <w:lvl w:ilvl="0" w:tplc="B6B0F9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405CB5"/>
    <w:multiLevelType w:val="hybridMultilevel"/>
    <w:tmpl w:val="9A6ED8D6"/>
    <w:lvl w:ilvl="0" w:tplc="5E10FC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4536E0"/>
    <w:multiLevelType w:val="hybridMultilevel"/>
    <w:tmpl w:val="E48A4304"/>
    <w:lvl w:ilvl="0" w:tplc="5E10FC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F66CF7"/>
    <w:multiLevelType w:val="hybridMultilevel"/>
    <w:tmpl w:val="796EE38A"/>
    <w:lvl w:ilvl="0" w:tplc="795C4076">
      <w:start w:val="1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274E25"/>
    <w:multiLevelType w:val="hybridMultilevel"/>
    <w:tmpl w:val="54EE9A1E"/>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3522943"/>
    <w:multiLevelType w:val="hybridMultilevel"/>
    <w:tmpl w:val="11821C28"/>
    <w:lvl w:ilvl="0" w:tplc="B8345AC8">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C23573"/>
    <w:multiLevelType w:val="hybridMultilevel"/>
    <w:tmpl w:val="5F9C4A90"/>
    <w:lvl w:ilvl="0" w:tplc="5E10FC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6D41BA"/>
    <w:multiLevelType w:val="hybridMultilevel"/>
    <w:tmpl w:val="71A424E6"/>
    <w:lvl w:ilvl="0" w:tplc="F5A0C18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AF7099"/>
    <w:multiLevelType w:val="hybridMultilevel"/>
    <w:tmpl w:val="ADDEC512"/>
    <w:lvl w:ilvl="0" w:tplc="EA5EB498">
      <w:start w:val="1"/>
      <w:numFmt w:val="bullet"/>
      <w:lvlText w:val="-"/>
      <w:lvlJc w:val="left"/>
      <w:pPr>
        <w:ind w:left="360" w:hanging="360"/>
      </w:pPr>
      <w:rPr>
        <w:rFonts w:ascii="Arial" w:eastAsia="Times"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6837334"/>
    <w:multiLevelType w:val="hybridMultilevel"/>
    <w:tmpl w:val="B1E64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515AD4"/>
    <w:multiLevelType w:val="hybridMultilevel"/>
    <w:tmpl w:val="BF944134"/>
    <w:lvl w:ilvl="0" w:tplc="A77A7A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F0239D"/>
    <w:multiLevelType w:val="hybridMultilevel"/>
    <w:tmpl w:val="EA12546A"/>
    <w:lvl w:ilvl="0" w:tplc="B6B0F9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D32456"/>
    <w:multiLevelType w:val="hybridMultilevel"/>
    <w:tmpl w:val="5F04AFC6"/>
    <w:lvl w:ilvl="0" w:tplc="0C1831F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0113C8"/>
    <w:multiLevelType w:val="hybridMultilevel"/>
    <w:tmpl w:val="DF1CE3BE"/>
    <w:lvl w:ilvl="0" w:tplc="E34C6890">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6DC0037"/>
    <w:multiLevelType w:val="hybridMultilevel"/>
    <w:tmpl w:val="D80A9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080EBF"/>
    <w:multiLevelType w:val="hybridMultilevel"/>
    <w:tmpl w:val="4F8E7488"/>
    <w:lvl w:ilvl="0" w:tplc="280831C2">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D85890"/>
    <w:multiLevelType w:val="hybridMultilevel"/>
    <w:tmpl w:val="9FF896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D1F4FBC"/>
    <w:multiLevelType w:val="hybridMultilevel"/>
    <w:tmpl w:val="47C6D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10"/>
  </w:num>
  <w:num w:numId="5">
    <w:abstractNumId w:val="5"/>
  </w:num>
  <w:num w:numId="6">
    <w:abstractNumId w:val="6"/>
  </w:num>
  <w:num w:numId="7">
    <w:abstractNumId w:val="19"/>
  </w:num>
  <w:num w:numId="8">
    <w:abstractNumId w:val="20"/>
  </w:num>
  <w:num w:numId="9">
    <w:abstractNumId w:val="17"/>
  </w:num>
  <w:num w:numId="10">
    <w:abstractNumId w:val="13"/>
  </w:num>
  <w:num w:numId="11">
    <w:abstractNumId w:val="3"/>
  </w:num>
  <w:num w:numId="12">
    <w:abstractNumId w:val="18"/>
  </w:num>
  <w:num w:numId="13">
    <w:abstractNumId w:val="9"/>
  </w:num>
  <w:num w:numId="14">
    <w:abstractNumId w:val="4"/>
  </w:num>
  <w:num w:numId="15">
    <w:abstractNumId w:val="15"/>
  </w:num>
  <w:num w:numId="16">
    <w:abstractNumId w:val="14"/>
  </w:num>
  <w:num w:numId="17">
    <w:abstractNumId w:val="11"/>
  </w:num>
  <w:num w:numId="18">
    <w:abstractNumId w:val="1"/>
  </w:num>
  <w:num w:numId="19">
    <w:abstractNumId w:val="7"/>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31E1"/>
    <w:rsid w:val="00087D58"/>
    <w:rsid w:val="00091138"/>
    <w:rsid w:val="000A3930"/>
    <w:rsid w:val="000A7744"/>
    <w:rsid w:val="000B080F"/>
    <w:rsid w:val="000B680A"/>
    <w:rsid w:val="000C31E1"/>
    <w:rsid w:val="0016251D"/>
    <w:rsid w:val="00181E3B"/>
    <w:rsid w:val="001A02EA"/>
    <w:rsid w:val="001B4E96"/>
    <w:rsid w:val="001C58A9"/>
    <w:rsid w:val="00212AA5"/>
    <w:rsid w:val="00245F19"/>
    <w:rsid w:val="00247C0F"/>
    <w:rsid w:val="00255662"/>
    <w:rsid w:val="00262BBB"/>
    <w:rsid w:val="002829E7"/>
    <w:rsid w:val="002A42A4"/>
    <w:rsid w:val="002C1B16"/>
    <w:rsid w:val="00313443"/>
    <w:rsid w:val="0032726B"/>
    <w:rsid w:val="003415EC"/>
    <w:rsid w:val="00361111"/>
    <w:rsid w:val="00376824"/>
    <w:rsid w:val="003A1FEE"/>
    <w:rsid w:val="003A69AD"/>
    <w:rsid w:val="003B4AA1"/>
    <w:rsid w:val="003B5523"/>
    <w:rsid w:val="003D0FDB"/>
    <w:rsid w:val="00434A1A"/>
    <w:rsid w:val="0043543F"/>
    <w:rsid w:val="00437C0D"/>
    <w:rsid w:val="00464CAD"/>
    <w:rsid w:val="004A5DF6"/>
    <w:rsid w:val="004B1952"/>
    <w:rsid w:val="004B7DD7"/>
    <w:rsid w:val="004D21ED"/>
    <w:rsid w:val="004F420B"/>
    <w:rsid w:val="004F4C04"/>
    <w:rsid w:val="004F7B91"/>
    <w:rsid w:val="00501862"/>
    <w:rsid w:val="00537B76"/>
    <w:rsid w:val="00554120"/>
    <w:rsid w:val="005542E7"/>
    <w:rsid w:val="0056501C"/>
    <w:rsid w:val="00570A89"/>
    <w:rsid w:val="00586F18"/>
    <w:rsid w:val="005B7C83"/>
    <w:rsid w:val="005C4D82"/>
    <w:rsid w:val="006016C1"/>
    <w:rsid w:val="006054F4"/>
    <w:rsid w:val="00612DE6"/>
    <w:rsid w:val="00636CB5"/>
    <w:rsid w:val="00670B3A"/>
    <w:rsid w:val="006777DA"/>
    <w:rsid w:val="00690380"/>
    <w:rsid w:val="00695890"/>
    <w:rsid w:val="006A5EF8"/>
    <w:rsid w:val="006C41C6"/>
    <w:rsid w:val="006D149F"/>
    <w:rsid w:val="0070133B"/>
    <w:rsid w:val="007159CB"/>
    <w:rsid w:val="00723E5C"/>
    <w:rsid w:val="007625DE"/>
    <w:rsid w:val="00763E97"/>
    <w:rsid w:val="00783202"/>
    <w:rsid w:val="007A024D"/>
    <w:rsid w:val="007B69B0"/>
    <w:rsid w:val="007C56EA"/>
    <w:rsid w:val="007D6A5C"/>
    <w:rsid w:val="007D7741"/>
    <w:rsid w:val="00811776"/>
    <w:rsid w:val="00813D2C"/>
    <w:rsid w:val="008274D2"/>
    <w:rsid w:val="00833B55"/>
    <w:rsid w:val="00836EB6"/>
    <w:rsid w:val="00863F78"/>
    <w:rsid w:val="00864C60"/>
    <w:rsid w:val="00871C6D"/>
    <w:rsid w:val="00873AAF"/>
    <w:rsid w:val="008830F2"/>
    <w:rsid w:val="00894852"/>
    <w:rsid w:val="008A20FC"/>
    <w:rsid w:val="008B2215"/>
    <w:rsid w:val="008C18AA"/>
    <w:rsid w:val="008C55CD"/>
    <w:rsid w:val="008E19EB"/>
    <w:rsid w:val="008E21FD"/>
    <w:rsid w:val="00901587"/>
    <w:rsid w:val="009043FE"/>
    <w:rsid w:val="0090631B"/>
    <w:rsid w:val="00913824"/>
    <w:rsid w:val="00922C95"/>
    <w:rsid w:val="0095622A"/>
    <w:rsid w:val="00990502"/>
    <w:rsid w:val="009931E4"/>
    <w:rsid w:val="009A1AA5"/>
    <w:rsid w:val="009A45CD"/>
    <w:rsid w:val="009B49BB"/>
    <w:rsid w:val="009C24C6"/>
    <w:rsid w:val="009C5A5B"/>
    <w:rsid w:val="009D436E"/>
    <w:rsid w:val="00A07EAD"/>
    <w:rsid w:val="00A104C6"/>
    <w:rsid w:val="00A420E4"/>
    <w:rsid w:val="00A755A8"/>
    <w:rsid w:val="00B22011"/>
    <w:rsid w:val="00B25D25"/>
    <w:rsid w:val="00B579C7"/>
    <w:rsid w:val="00B622A1"/>
    <w:rsid w:val="00B80BBF"/>
    <w:rsid w:val="00B9470E"/>
    <w:rsid w:val="00BA2E6E"/>
    <w:rsid w:val="00BA598B"/>
    <w:rsid w:val="00BC2A21"/>
    <w:rsid w:val="00BD5706"/>
    <w:rsid w:val="00C221BF"/>
    <w:rsid w:val="00C65C9B"/>
    <w:rsid w:val="00C9360C"/>
    <w:rsid w:val="00CA6FAF"/>
    <w:rsid w:val="00CB05E9"/>
    <w:rsid w:val="00CB11D0"/>
    <w:rsid w:val="00CC7EB0"/>
    <w:rsid w:val="00CE14DE"/>
    <w:rsid w:val="00CE7DEA"/>
    <w:rsid w:val="00CF1877"/>
    <w:rsid w:val="00D24E42"/>
    <w:rsid w:val="00D37005"/>
    <w:rsid w:val="00D55736"/>
    <w:rsid w:val="00D61D8D"/>
    <w:rsid w:val="00D7322A"/>
    <w:rsid w:val="00D803AF"/>
    <w:rsid w:val="00D90C90"/>
    <w:rsid w:val="00DB1AA5"/>
    <w:rsid w:val="00DB5FE7"/>
    <w:rsid w:val="00DB6397"/>
    <w:rsid w:val="00DC4EA0"/>
    <w:rsid w:val="00DF2D27"/>
    <w:rsid w:val="00E12BD3"/>
    <w:rsid w:val="00E32CE5"/>
    <w:rsid w:val="00E36B41"/>
    <w:rsid w:val="00E510CF"/>
    <w:rsid w:val="00E52B20"/>
    <w:rsid w:val="00E867A2"/>
    <w:rsid w:val="00EA75FB"/>
    <w:rsid w:val="00EB1162"/>
    <w:rsid w:val="00EC7C2C"/>
    <w:rsid w:val="00EF6EA5"/>
    <w:rsid w:val="00F37B8F"/>
    <w:rsid w:val="00F56E6F"/>
    <w:rsid w:val="00F6219A"/>
    <w:rsid w:val="00F74AE7"/>
    <w:rsid w:val="00F932B9"/>
    <w:rsid w:val="00FA269C"/>
    <w:rsid w:val="00FC654D"/>
    <w:rsid w:val="00FD32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31E1"/>
    <w:rPr>
      <w:sz w:val="20"/>
      <w:szCs w:val="20"/>
    </w:rPr>
  </w:style>
  <w:style w:type="character" w:customStyle="1" w:styleId="NotedebasdepageCar">
    <w:name w:val="Note de bas de page Car"/>
    <w:link w:val="Notedebasdepage"/>
    <w:uiPriority w:val="99"/>
    <w:semiHidden/>
    <w:rsid w:val="000C31E1"/>
    <w:rPr>
      <w:sz w:val="20"/>
      <w:szCs w:val="20"/>
    </w:rPr>
  </w:style>
  <w:style w:type="character" w:styleId="Appelnotedebasdep">
    <w:name w:val="footnote reference"/>
    <w:uiPriority w:val="99"/>
    <w:unhideWhenUsed/>
    <w:rsid w:val="000C31E1"/>
    <w:rPr>
      <w:vertAlign w:val="superscript"/>
    </w:rPr>
  </w:style>
  <w:style w:type="character" w:styleId="Lienhypertexte">
    <w:name w:val="Hyperlink"/>
    <w:uiPriority w:val="99"/>
    <w:unhideWhenUsed/>
    <w:rsid w:val="000C31E1"/>
    <w:rPr>
      <w:color w:val="0000FF"/>
      <w:u w:val="single"/>
    </w:rPr>
  </w:style>
  <w:style w:type="table" w:customStyle="1" w:styleId="Grilledutableau1">
    <w:name w:val="Grille du tableau1"/>
    <w:basedOn w:val="TableauNormal"/>
    <w:next w:val="Grilledutableau"/>
    <w:uiPriority w:val="59"/>
    <w:rsid w:val="000C31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0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31E1"/>
    <w:pPr>
      <w:ind w:left="720"/>
      <w:contextualSpacing/>
    </w:pPr>
  </w:style>
  <w:style w:type="character" w:styleId="Marquedecommentaire">
    <w:name w:val="annotation reference"/>
    <w:uiPriority w:val="99"/>
    <w:semiHidden/>
    <w:unhideWhenUsed/>
    <w:rsid w:val="006A5EF8"/>
    <w:rPr>
      <w:sz w:val="16"/>
      <w:szCs w:val="16"/>
    </w:rPr>
  </w:style>
  <w:style w:type="paragraph" w:styleId="Commentaire">
    <w:name w:val="annotation text"/>
    <w:basedOn w:val="Normal"/>
    <w:link w:val="CommentaireCar"/>
    <w:uiPriority w:val="99"/>
    <w:semiHidden/>
    <w:unhideWhenUsed/>
    <w:rsid w:val="006A5EF8"/>
    <w:rPr>
      <w:sz w:val="20"/>
      <w:szCs w:val="20"/>
    </w:rPr>
  </w:style>
  <w:style w:type="character" w:customStyle="1" w:styleId="CommentaireCar">
    <w:name w:val="Commentaire Car"/>
    <w:link w:val="Commentaire"/>
    <w:uiPriority w:val="99"/>
    <w:semiHidden/>
    <w:rsid w:val="006A5EF8"/>
    <w:rPr>
      <w:sz w:val="20"/>
      <w:szCs w:val="20"/>
    </w:rPr>
  </w:style>
  <w:style w:type="paragraph" w:styleId="Objetducommentaire">
    <w:name w:val="annotation subject"/>
    <w:basedOn w:val="Commentaire"/>
    <w:next w:val="Commentaire"/>
    <w:link w:val="ObjetducommentaireCar"/>
    <w:uiPriority w:val="99"/>
    <w:semiHidden/>
    <w:unhideWhenUsed/>
    <w:rsid w:val="006A5EF8"/>
    <w:rPr>
      <w:b/>
      <w:bCs/>
    </w:rPr>
  </w:style>
  <w:style w:type="character" w:customStyle="1" w:styleId="ObjetducommentaireCar">
    <w:name w:val="Objet du commentaire Car"/>
    <w:link w:val="Objetducommentaire"/>
    <w:uiPriority w:val="99"/>
    <w:semiHidden/>
    <w:rsid w:val="006A5EF8"/>
    <w:rPr>
      <w:b/>
      <w:bCs/>
      <w:sz w:val="20"/>
      <w:szCs w:val="20"/>
    </w:rPr>
  </w:style>
  <w:style w:type="paragraph" w:styleId="Textedebulles">
    <w:name w:val="Balloon Text"/>
    <w:basedOn w:val="Normal"/>
    <w:link w:val="TextedebullesCar"/>
    <w:uiPriority w:val="99"/>
    <w:semiHidden/>
    <w:unhideWhenUsed/>
    <w:rsid w:val="006A5EF8"/>
    <w:rPr>
      <w:rFonts w:ascii="Tahoma" w:hAnsi="Tahoma" w:cs="Tahoma"/>
      <w:sz w:val="16"/>
      <w:szCs w:val="16"/>
    </w:rPr>
  </w:style>
  <w:style w:type="character" w:customStyle="1" w:styleId="TextedebullesCar">
    <w:name w:val="Texte de bulles Car"/>
    <w:link w:val="Textedebulles"/>
    <w:uiPriority w:val="99"/>
    <w:semiHidden/>
    <w:rsid w:val="006A5EF8"/>
    <w:rPr>
      <w:rFonts w:ascii="Tahoma" w:hAnsi="Tahoma" w:cs="Tahoma"/>
      <w:sz w:val="16"/>
      <w:szCs w:val="16"/>
    </w:rPr>
  </w:style>
  <w:style w:type="paragraph" w:styleId="En-tte">
    <w:name w:val="header"/>
    <w:basedOn w:val="Normal"/>
    <w:link w:val="En-tteCar"/>
    <w:uiPriority w:val="99"/>
    <w:unhideWhenUsed/>
    <w:rsid w:val="00BC2A21"/>
    <w:pPr>
      <w:tabs>
        <w:tab w:val="center" w:pos="4536"/>
        <w:tab w:val="right" w:pos="9072"/>
      </w:tabs>
    </w:pPr>
  </w:style>
  <w:style w:type="character" w:customStyle="1" w:styleId="En-tteCar">
    <w:name w:val="En-tête Car"/>
    <w:link w:val="En-tte"/>
    <w:uiPriority w:val="99"/>
    <w:rsid w:val="00BC2A21"/>
    <w:rPr>
      <w:sz w:val="22"/>
      <w:szCs w:val="22"/>
      <w:lang w:eastAsia="en-US"/>
    </w:rPr>
  </w:style>
  <w:style w:type="paragraph" w:styleId="Pieddepage">
    <w:name w:val="footer"/>
    <w:basedOn w:val="Normal"/>
    <w:link w:val="PieddepageCar"/>
    <w:uiPriority w:val="99"/>
    <w:unhideWhenUsed/>
    <w:rsid w:val="00BC2A21"/>
    <w:pPr>
      <w:tabs>
        <w:tab w:val="center" w:pos="4536"/>
        <w:tab w:val="right" w:pos="9072"/>
      </w:tabs>
    </w:pPr>
  </w:style>
  <w:style w:type="character" w:customStyle="1" w:styleId="PieddepageCar">
    <w:name w:val="Pied de page Car"/>
    <w:link w:val="Pieddepage"/>
    <w:uiPriority w:val="99"/>
    <w:rsid w:val="00BC2A2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C31E1"/>
    <w:rPr>
      <w:sz w:val="20"/>
      <w:szCs w:val="20"/>
    </w:rPr>
  </w:style>
  <w:style w:type="character" w:customStyle="1" w:styleId="NotedebasdepageCar">
    <w:name w:val="Note de bas de page Car"/>
    <w:link w:val="Notedebasdepage"/>
    <w:uiPriority w:val="99"/>
    <w:semiHidden/>
    <w:rsid w:val="000C31E1"/>
    <w:rPr>
      <w:sz w:val="20"/>
      <w:szCs w:val="20"/>
    </w:rPr>
  </w:style>
  <w:style w:type="character" w:styleId="Appelnotedebasdep">
    <w:name w:val="footnote reference"/>
    <w:uiPriority w:val="99"/>
    <w:unhideWhenUsed/>
    <w:rsid w:val="000C31E1"/>
    <w:rPr>
      <w:vertAlign w:val="superscript"/>
    </w:rPr>
  </w:style>
  <w:style w:type="character" w:styleId="Lienhypertexte">
    <w:name w:val="Hyperlink"/>
    <w:uiPriority w:val="99"/>
    <w:unhideWhenUsed/>
    <w:rsid w:val="000C31E1"/>
    <w:rPr>
      <w:color w:val="0000FF"/>
      <w:u w:val="single"/>
    </w:rPr>
  </w:style>
  <w:style w:type="table" w:customStyle="1" w:styleId="Grilledutableau1">
    <w:name w:val="Grille du tableau1"/>
    <w:basedOn w:val="TableauNormal"/>
    <w:next w:val="Grilledutableau"/>
    <w:uiPriority w:val="59"/>
    <w:rsid w:val="000C31E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0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31E1"/>
    <w:pPr>
      <w:ind w:left="720"/>
      <w:contextualSpacing/>
    </w:pPr>
  </w:style>
  <w:style w:type="character" w:styleId="Marquedecommentaire">
    <w:name w:val="annotation reference"/>
    <w:uiPriority w:val="99"/>
    <w:semiHidden/>
    <w:unhideWhenUsed/>
    <w:rsid w:val="006A5EF8"/>
    <w:rPr>
      <w:sz w:val="16"/>
      <w:szCs w:val="16"/>
    </w:rPr>
  </w:style>
  <w:style w:type="paragraph" w:styleId="Commentaire">
    <w:name w:val="annotation text"/>
    <w:basedOn w:val="Normal"/>
    <w:link w:val="CommentaireCar"/>
    <w:uiPriority w:val="99"/>
    <w:semiHidden/>
    <w:unhideWhenUsed/>
    <w:rsid w:val="006A5EF8"/>
    <w:rPr>
      <w:sz w:val="20"/>
      <w:szCs w:val="20"/>
    </w:rPr>
  </w:style>
  <w:style w:type="character" w:customStyle="1" w:styleId="CommentaireCar">
    <w:name w:val="Commentaire Car"/>
    <w:link w:val="Commentaire"/>
    <w:uiPriority w:val="99"/>
    <w:semiHidden/>
    <w:rsid w:val="006A5EF8"/>
    <w:rPr>
      <w:sz w:val="20"/>
      <w:szCs w:val="20"/>
    </w:rPr>
  </w:style>
  <w:style w:type="paragraph" w:styleId="Objetducommentaire">
    <w:name w:val="annotation subject"/>
    <w:basedOn w:val="Commentaire"/>
    <w:next w:val="Commentaire"/>
    <w:link w:val="ObjetducommentaireCar"/>
    <w:uiPriority w:val="99"/>
    <w:semiHidden/>
    <w:unhideWhenUsed/>
    <w:rsid w:val="006A5EF8"/>
    <w:rPr>
      <w:b/>
      <w:bCs/>
    </w:rPr>
  </w:style>
  <w:style w:type="character" w:customStyle="1" w:styleId="ObjetducommentaireCar">
    <w:name w:val="Objet du commentaire Car"/>
    <w:link w:val="Objetducommentaire"/>
    <w:uiPriority w:val="99"/>
    <w:semiHidden/>
    <w:rsid w:val="006A5EF8"/>
    <w:rPr>
      <w:b/>
      <w:bCs/>
      <w:sz w:val="20"/>
      <w:szCs w:val="20"/>
    </w:rPr>
  </w:style>
  <w:style w:type="paragraph" w:styleId="Textedebulles">
    <w:name w:val="Balloon Text"/>
    <w:basedOn w:val="Normal"/>
    <w:link w:val="TextedebullesCar"/>
    <w:uiPriority w:val="99"/>
    <w:semiHidden/>
    <w:unhideWhenUsed/>
    <w:rsid w:val="006A5EF8"/>
    <w:rPr>
      <w:rFonts w:ascii="Tahoma" w:hAnsi="Tahoma" w:cs="Tahoma"/>
      <w:sz w:val="16"/>
      <w:szCs w:val="16"/>
    </w:rPr>
  </w:style>
  <w:style w:type="character" w:customStyle="1" w:styleId="TextedebullesCar">
    <w:name w:val="Texte de bulles Car"/>
    <w:link w:val="Textedebulles"/>
    <w:uiPriority w:val="99"/>
    <w:semiHidden/>
    <w:rsid w:val="006A5EF8"/>
    <w:rPr>
      <w:rFonts w:ascii="Tahoma" w:hAnsi="Tahoma" w:cs="Tahoma"/>
      <w:sz w:val="16"/>
      <w:szCs w:val="16"/>
    </w:rPr>
  </w:style>
  <w:style w:type="paragraph" w:styleId="En-tte">
    <w:name w:val="header"/>
    <w:basedOn w:val="Normal"/>
    <w:link w:val="En-tteCar"/>
    <w:uiPriority w:val="99"/>
    <w:unhideWhenUsed/>
    <w:rsid w:val="00BC2A21"/>
    <w:pPr>
      <w:tabs>
        <w:tab w:val="center" w:pos="4536"/>
        <w:tab w:val="right" w:pos="9072"/>
      </w:tabs>
    </w:pPr>
  </w:style>
  <w:style w:type="character" w:customStyle="1" w:styleId="En-tteCar">
    <w:name w:val="En-tête Car"/>
    <w:link w:val="En-tte"/>
    <w:uiPriority w:val="99"/>
    <w:rsid w:val="00BC2A21"/>
    <w:rPr>
      <w:sz w:val="22"/>
      <w:szCs w:val="22"/>
      <w:lang w:eastAsia="en-US"/>
    </w:rPr>
  </w:style>
  <w:style w:type="paragraph" w:styleId="Pieddepage">
    <w:name w:val="footer"/>
    <w:basedOn w:val="Normal"/>
    <w:link w:val="PieddepageCar"/>
    <w:uiPriority w:val="99"/>
    <w:unhideWhenUsed/>
    <w:rsid w:val="00BC2A21"/>
    <w:pPr>
      <w:tabs>
        <w:tab w:val="center" w:pos="4536"/>
        <w:tab w:val="right" w:pos="9072"/>
      </w:tabs>
    </w:pPr>
  </w:style>
  <w:style w:type="character" w:customStyle="1" w:styleId="PieddepageCar">
    <w:name w:val="Pied de page Car"/>
    <w:link w:val="Pieddepage"/>
    <w:uiPriority w:val="99"/>
    <w:rsid w:val="00BC2A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8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93D93-0B4D-43EA-8FA9-1D9A48F4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Développer l’alternance en deuxième année de master MEEF</vt:lpstr>
    </vt:vector>
  </TitlesOfParts>
  <Company>Ministere de l'Education Nationale</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Développer l’alternance en deuxième année de master MEEF</dc:title>
  <dc:creator>Geffray</dc:creator>
  <cp:lastModifiedBy>Administration centrale</cp:lastModifiedBy>
  <cp:revision>3</cp:revision>
  <cp:lastPrinted>2019-02-21T18:39:00Z</cp:lastPrinted>
  <dcterms:created xsi:type="dcterms:W3CDTF">2019-11-20T10:38:00Z</dcterms:created>
  <dcterms:modified xsi:type="dcterms:W3CDTF">2019-11-20T10:46:00Z</dcterms:modified>
</cp:coreProperties>
</file>